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КАДАСТРА И КАРТОГРАФИИ (РОСРЕЕСТР)  ПО ЧЕЛЯБИНСКОЙ ОБЛАСТИ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 xml:space="preserve">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object w:dxaOrig="3168" w:dyaOrig="1184">
          <v:rect xmlns:o="urn:schemas-microsoft-com:office:office" xmlns:v="urn:schemas-microsoft-com:vml" id="rectole0000000000" style="width:158.400000pt;height:5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         16.11.2021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Челябинский Росреестр зарегистрировал больше тысячи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ипотек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Управлении Росреестра по Челябинской области проанализирована статистика государственной регистрации прав на недвижимое имущество и сделок с ним по программе кредитования населения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Сельская ипотека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Сельская ипотека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пользуется популярностью у россиян, жители Южного Урала - не исключение. В рамках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государственной программы ипотечного кредитования граждане приобретают объекты недвижимости в сельских населенных пунктах по льготной ставке до 3% годовых и оформляют права собственности.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Региональное Управление Росреестра делится статистикой регистрационных действий по данному направлению работы. Так, на 15 ноября 2021 года проведена госрегистрация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пакетам документов с использованием сельской ипотеки по сниженной процентной ставке. Из них права оформлены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договорам купли-продажи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договорам участия в долевом в строительстве, соглашениям об уступке права требований.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Большая часть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ипотек в Челябинской области оформлена на объекты недвижимого имущества, расположенные в Сосновском и Красноармейском районах. На рынке недвижимости этих территорий стабильно наблюдается высокая активность, которая объясняется непосредственной близостью к областному центру, развитой инфраструктурой и транспортной доступностью социальных объектов. </w:t>
      </w:r>
    </w:p>
    <w:p>
      <w:pPr>
        <w:keepNext w:val="true"/>
        <w:keepLines w:val="true"/>
        <w:spacing w:before="40" w:after="0" w:line="240"/>
        <w:ind w:right="0" w:left="0" w:firstLine="709"/>
        <w:jc w:val="both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2E74B5"/>
          <w:spacing w:val="0"/>
          <w:position w:val="0"/>
          <w:sz w:val="28"/>
          <w:shd w:fill="FFFFFF" w:val="clear"/>
        </w:rPr>
        <w:t xml:space="preserve">Комментирует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28"/>
          <w:shd w:fill="FFFFFF" w:val="clear"/>
        </w:rPr>
        <w:t xml:space="preserve">заместитель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28"/>
          <w:shd w:fill="FFFFFF" w:val="clear"/>
        </w:rPr>
        <w:t xml:space="preserve">руководителя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28"/>
          <w:shd w:fill="FFFFFF" w:val="clear"/>
        </w:rPr>
        <w:t xml:space="preserve">Управления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28"/>
          <w:shd w:fill="FFFFFF" w:val="clear"/>
        </w:rPr>
        <w:t xml:space="preserve">Росреестра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28"/>
          <w:shd w:fill="FFFFFF" w:val="clear"/>
        </w:rPr>
        <w:t xml:space="preserve">Челябинской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2E74B5"/>
          <w:spacing w:val="0"/>
          <w:position w:val="0"/>
          <w:sz w:val="28"/>
          <w:shd w:fill="FFFFFF" w:val="clear"/>
        </w:rPr>
        <w:t xml:space="preserve">области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28"/>
          <w:shd w:fill="FFFFFF" w:val="clear"/>
        </w:rPr>
        <w:t xml:space="preserve">Марина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2E74B5"/>
          <w:spacing w:val="0"/>
          <w:position w:val="0"/>
          <w:sz w:val="28"/>
          <w:shd w:fill="FFFFFF" w:val="clear"/>
        </w:rPr>
        <w:t xml:space="preserve">Воронина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28"/>
          <w:shd w:fill="FFFFFF" w:val="clear"/>
        </w:rPr>
        <w:t xml:space="preserve">:</w:t>
      </w:r>
    </w:p>
    <w:p>
      <w:pPr>
        <w:keepNext w:val="true"/>
        <w:keepLines w:val="true"/>
        <w:spacing w:before="40" w:after="0" w:line="240"/>
        <w:ind w:right="0" w:left="0" w:firstLine="709"/>
        <w:jc w:val="both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28"/>
          <w:shd w:fill="FFFFFF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Управление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Росреестра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уделяет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особое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внимание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регистрации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прав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объекты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подпадающие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под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действие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данной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государственной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программы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льготного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ипотечного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кредитования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населения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При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возникновении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причин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препятствующих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проведению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регистрационных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действий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специалисты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связываются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с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заявителями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оперативного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устранения</w:t>
      </w:r>
      <w:r>
        <w:rPr>
          <w:rFonts w:ascii="Calibri Light" w:hAnsi="Calibri Light" w:cs="Calibri Light" w:eastAsia="Calibri Light"/>
          <w:b/>
          <w:i/>
          <w:color w:val="2E74B5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2E74B5"/>
          <w:spacing w:val="0"/>
          <w:position w:val="0"/>
          <w:sz w:val="28"/>
          <w:shd w:fill="FFFFFF" w:val="clear"/>
        </w:rPr>
        <w:t xml:space="preserve">замечаний</w:t>
      </w: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28"/>
          <w:shd w:fill="FFFFFF" w:val="clear"/>
        </w:rPr>
        <w:t xml:space="preserve">».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Справочно: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Сельская ипотека заработала в Челябинской области с 1 января 2020 года. Жителям региона стали доступны кредиты на покупку недвижимости в сельских населенных пунктах по льготной ставке до 3% годовых.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  <w:t xml:space="preserve">Льготные кредиты выдают гражданам в возрасте от 21 до 75 лет. Главное условие – это приобретение недвижимости в населенном пункте, численность которого не превышает 30 тыс. человек.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  <w:t xml:space="preserve">Список поселений, подпадающих под сельскую ипотеку, приведен в Приказе регионального Министерства сельского хозяйства от 10.04.2019 № 216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  <w:t xml:space="preserve">Об утверждении перечня сельских населенных пунктов и рабочих поселков, находящихся на территории Челябинской области, относящихся к сельской территории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FFFFFF" w:val="clear"/>
        </w:rPr>
        <w:t xml:space="preserve">».</w:t>
      </w:r>
    </w:p>
    <w:p>
      <w:pPr>
        <w:spacing w:before="0" w:after="0" w:line="240"/>
        <w:ind w:right="0" w:left="0" w:firstLine="708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Аргаяшский отдел Управления Росреестра</w:t>
      </w: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7"/>
          <w:shd w:fill="auto" w:val="clear"/>
        </w:rPr>
        <w:t xml:space="preserve">по Челябинской области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